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0" w:type="dxa"/>
        <w:jc w:val="center"/>
        <w:tblLayout w:type="fixed"/>
        <w:tblLook w:val="0000"/>
      </w:tblPr>
      <w:tblGrid>
        <w:gridCol w:w="2032"/>
        <w:gridCol w:w="2422"/>
        <w:gridCol w:w="5867"/>
        <w:tblGridChange w:id="0">
          <w:tblGrid>
            <w:gridCol w:w="2032"/>
            <w:gridCol w:w="2422"/>
            <w:gridCol w:w="586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SECRETARIA DEL DEPORTE Y LA RECREACIÓN 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 DE INFRAESTRUCTURA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ind w:right="-1990.629921259842"/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conservación de la Infraestructura deportiva y Recreativa del Distrito especial de Santiago de Cali BP-26005399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.4162.010.26.1.45982025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Krysthian David  Ramírez Munevar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Francy Elena Fernández Gómez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66.817.102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$10.890.000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$2.178.000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1077083350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8822885365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11/NOV/202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1.Acompañar a los equipos de la Secretaría del Deporte en las mesas técnicas de planeación, implementación y seguimiento a las políticas públicas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2.Realizar la articulación con los enlaces de otros organismos de la administración para gestionar la información relacionada con los indicadores de políticas públicas en donde la Secretaría del Deporte y la Recreación es corresponsable de su cumplimiento.</w:t>
            </w:r>
          </w:p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1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1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Actualizar las bases de datos de los    indicadores para la preparación de informes de políticas públicas que sean requeridos</w:t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1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4.Gestionar las solicitudes y respuestas de los oficios a través de la plataforma ORFEO que son propios del proceso de políticas públicas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Participar en la Mesa Interdisciplinaria de Trabajo para el análisis de la base de datos de infraestructura deportivas de la ciudad</w:t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1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1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6.Las demás que le sean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asignadas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en desarrollo del objeto contractual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Acompañé al equipo de la Subsecretaría de Fomento en la Mesa técnica con la Secretaría de Paz, con el fin de apoyar en la estrategia En la Buena (Anexo 1.1)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la Mesa Técnica de la Secretaría de Paz, para revisión de la Política Pública de Barrismo social (Anexo 1.2)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2.1. Asistí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 la II Sesión del Comité Territorial de Justicia Transicional dando cumplimiento a lo ordenado en la Ley 1448 de 2011(Anexo 2.1)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2.2. Asistí al VII Subcomité Extraordinario de Reparación, Restitución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Medidas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Satisfacción (Anexo 2.2.)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2.3. Asistí a reunión mensual con la Secretaría de Paz, para revisión de las acciones de seguimiento al cumplimiento de la Sentencia SU-020 de 2022 de la Corte Constitucional (Anexo 2.3)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2.4 Asistí a reunión de mensual con la Personería de Cali, quien realiza en seguimiento al cumplimiento de la Sentencia SU-020 de 2022 (Anexo 2.4)</w:t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3.1 Elaboré la matriz de seguimiento al Plan de Acción Territorial PAT para el cumplimiento de la Ley 1448 de 2011 (Anexo 3.1)</w:t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 Colaboré con la elaboración de diferentes oficios enviados por la plataforma Orfeo (Anexo 4.1)</w:t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5.1 Presenté las acciones que dan cumplimiento a la Política Pública de la mujer, subrayando la importancia de garantizar la igualdad y la inclusión en el uso y disfrute de los escenarios deportivos contribuyendo a eliminar brechas y desigualdades, promoviendo condiciones equitativas (Anexo 5.1)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6.1 Asistí a la Sesión ordinaria del Comité de Salud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ental y Prevención del consumo de Sustancias Psicoactivas (Anexo 6.1)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 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2"/>
                <w:szCs w:val="22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sz w:val="22"/>
                  <w:szCs w:val="22"/>
                  <w:u w:val="single"/>
                  <w:rtl w:val="0"/>
                </w:rPr>
                <w:t xml:space="preserve">https://drive.google.com/drive/folders/1Xpfxu5weKzPwAVBHVWtt9IxEYeUlwKwq?usp=drive_link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12"/>
                <w:szCs w:val="12"/>
              </w:rPr>
            </w:pPr>
            <w:bookmarkStart w:colFirst="0" w:colLast="0" w:name="_heading=h.j1mqibmvovhy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1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 </w:t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158750</wp:posOffset>
                  </wp:positionH>
                  <wp:positionV relativeFrom="paragraph">
                    <wp:posOffset>80010</wp:posOffset>
                  </wp:positionV>
                  <wp:extent cx="1219200" cy="409575"/>
                  <wp:effectExtent b="0" l="0" r="0" t="0"/>
                  <wp:wrapSquare wrapText="bothSides" distB="0" distT="0" distL="114300" distR="114300"/>
                  <wp:docPr id="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4095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bookmarkStart w:colFirst="0" w:colLast="0" w:name="_heading=h.m1wg3p7orlyr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21/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ov/2025</w:t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360" w:hanging="360"/>
      </w:pPr>
      <w:rPr>
        <w:rFonts w:ascii="Arial" w:cs="Arial" w:eastAsia="Arial" w:hAnsi="Aria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cs="Arial" w:eastAsia="Arial" w:hAnsi="Aria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cs="Arial" w:eastAsia="Arial" w:hAnsi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cs="Arial" w:eastAsia="Arial" w:hAnsi="Arial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cs="Arial" w:eastAsia="Arial" w:hAnsi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cs="Arial" w:eastAsia="Arial" w:hAnsi="Arial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cs="Arial" w:eastAsia="Arial" w:hAnsi="Arial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cs="Arial" w:eastAsia="Arial" w:hAnsi="Arial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cs="Arial" w:eastAsia="Arial" w:hAnsi="Arial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1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val="es-ES"/>
    </w:rPr>
  </w:style>
  <w:style w:type="character" w:styleId="Hipervnculo">
    <w:name w:val="Hyperlink"/>
    <w:basedOn w:val="Fuentedeprrafopredeter"/>
    <w:uiPriority w:val="99"/>
    <w:unhideWhenUsed w:val="1"/>
    <w:rsid w:val="007F64BB"/>
    <w:rPr>
      <w:color w:val="0563c1" w:themeColor="hyperlink"/>
      <w:u w:val="single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542C08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Xpfxu5weKzPwAVBHVWtt9IxEYeUlwKwq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AmdfNMNUuYNw0LumiLqaNa9fJA==">CgMxLjAyDmguajFtcWlibXZvdmh5Mg5oLm0xd2czcDdvcmx5cjgAciExQ1g2QTd5Q3pCM0NQSmFkWkh5N0c1MUIxV3c5Qy1XTVI=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